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85A0" w14:textId="7BBDD8FD" w:rsidR="00F33E2D" w:rsidRPr="006E58A6" w:rsidRDefault="0052032F" w:rsidP="0013718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58A6">
        <w:rPr>
          <w:rFonts w:ascii="Arial" w:hAnsi="Arial" w:cs="Arial"/>
          <w:b/>
          <w:bCs/>
          <w:sz w:val="20"/>
          <w:szCs w:val="20"/>
        </w:rPr>
        <w:t>LEI</w:t>
      </w:r>
      <w:r w:rsidR="00DF16FF" w:rsidRPr="006E58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58A6">
        <w:rPr>
          <w:rFonts w:ascii="Arial" w:hAnsi="Arial" w:cs="Arial"/>
          <w:b/>
          <w:bCs/>
          <w:sz w:val="20"/>
          <w:szCs w:val="20"/>
        </w:rPr>
        <w:t xml:space="preserve">Nº </w:t>
      </w:r>
      <w:r w:rsidR="00215047">
        <w:rPr>
          <w:rFonts w:ascii="Arial" w:hAnsi="Arial" w:cs="Arial"/>
          <w:b/>
          <w:bCs/>
          <w:sz w:val="20"/>
          <w:szCs w:val="20"/>
        </w:rPr>
        <w:t>2641</w:t>
      </w:r>
      <w:r w:rsidRPr="006E58A6">
        <w:rPr>
          <w:rFonts w:ascii="Arial" w:hAnsi="Arial" w:cs="Arial"/>
          <w:b/>
          <w:bCs/>
          <w:sz w:val="20"/>
          <w:szCs w:val="20"/>
        </w:rPr>
        <w:t>/20</w:t>
      </w:r>
      <w:r w:rsidR="004C3AF5" w:rsidRPr="006E58A6">
        <w:rPr>
          <w:rFonts w:ascii="Arial" w:hAnsi="Arial" w:cs="Arial"/>
          <w:b/>
          <w:bCs/>
          <w:sz w:val="20"/>
          <w:szCs w:val="20"/>
        </w:rPr>
        <w:t>2</w:t>
      </w:r>
      <w:r w:rsidR="000C3739">
        <w:rPr>
          <w:rFonts w:ascii="Arial" w:hAnsi="Arial" w:cs="Arial"/>
          <w:b/>
          <w:bCs/>
          <w:sz w:val="20"/>
          <w:szCs w:val="20"/>
        </w:rPr>
        <w:t>2</w:t>
      </w:r>
    </w:p>
    <w:p w14:paraId="2EC22245" w14:textId="77777777" w:rsidR="00230D83" w:rsidRPr="006E58A6" w:rsidRDefault="00230D83" w:rsidP="0013718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A96E0E" w14:textId="7819A4BD" w:rsidR="00725210" w:rsidRPr="006E58A6" w:rsidRDefault="000C3739" w:rsidP="006E58A6">
      <w:pPr>
        <w:spacing w:after="0" w:line="240" w:lineRule="auto"/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0C3739"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ESTIMA A RECEITA E FIXA A DESPESA DO MUNICÍPIO DE SANTA MARIA DE JETIBÁ PARA O EXERCÍCIO FINANCEIRO DE 2023</w:t>
      </w:r>
      <w:r w:rsidR="009A09AA" w:rsidRPr="006E58A6">
        <w:rPr>
          <w:rFonts w:ascii="Arial" w:eastAsiaTheme="minorEastAsia" w:hAnsi="Arial" w:cs="Arial"/>
          <w:b/>
          <w:bCs/>
          <w:sz w:val="20"/>
          <w:szCs w:val="20"/>
          <w:lang w:val="en-US" w:bidi="ar"/>
        </w:rPr>
        <w:t>.</w:t>
      </w:r>
    </w:p>
    <w:p w14:paraId="46F009BE" w14:textId="77777777" w:rsidR="007F04B4" w:rsidRPr="006E58A6" w:rsidRDefault="007F04B4" w:rsidP="00137189">
      <w:pPr>
        <w:spacing w:after="0" w:line="240" w:lineRule="auto"/>
        <w:ind w:leftChars="2295" w:left="4819" w:firstLine="1"/>
        <w:jc w:val="both"/>
        <w:rPr>
          <w:rFonts w:ascii="Arial" w:hAnsi="Arial" w:cs="Arial"/>
          <w:b/>
          <w:sz w:val="20"/>
          <w:szCs w:val="20"/>
        </w:rPr>
      </w:pPr>
    </w:p>
    <w:p w14:paraId="2E97D6B3" w14:textId="77777777" w:rsidR="000C3739" w:rsidRDefault="000C3739" w:rsidP="00137189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01B2A521" w14:textId="4B559DE9" w:rsidR="000D3553" w:rsidRPr="006E58A6" w:rsidRDefault="000D3553" w:rsidP="00137189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  <w:r w:rsidRPr="006E58A6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3D759411" w14:textId="77777777" w:rsidR="000D3553" w:rsidRPr="006E58A6" w:rsidRDefault="000D3553" w:rsidP="00137189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62BE290B" w14:textId="77777777" w:rsidR="000D3553" w:rsidRDefault="000D3553" w:rsidP="00137189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  <w:r w:rsidRPr="006E58A6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343965CF" w14:textId="77777777" w:rsidR="006E58A6" w:rsidRDefault="006E58A6" w:rsidP="007A12DF">
      <w:pPr>
        <w:spacing w:after="0" w:line="36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4C9957DC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Título I</w:t>
      </w:r>
    </w:p>
    <w:p w14:paraId="31CC7CDF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DAS DISPOSIÇÕES COMUNS</w:t>
      </w:r>
    </w:p>
    <w:p w14:paraId="0CDF4AB6" w14:textId="77777777" w:rsidR="000C3739" w:rsidRDefault="000C3739" w:rsidP="000C3739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D41D778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hAnsi="Arial" w:cs="Arial"/>
          <w:b/>
          <w:bCs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Esta Lei estima a Receita e fixa a Despesa do Município de Santa Maria de Jetibá para o exercício financeiro de 20</w:t>
      </w:r>
      <w:r>
        <w:rPr>
          <w:rFonts w:ascii="Arial" w:hAnsi="Arial" w:cs="Arial"/>
          <w:color w:val="000000"/>
          <w:sz w:val="20"/>
          <w:szCs w:val="20"/>
          <w:lang w:bidi="ar"/>
        </w:rPr>
        <w:t>23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, compreendendo:</w:t>
      </w:r>
    </w:p>
    <w:p w14:paraId="11F40F02" w14:textId="77777777" w:rsidR="000C3739" w:rsidRDefault="000C3739" w:rsidP="000C3739">
      <w:pPr>
        <w:spacing w:after="0" w:line="240" w:lineRule="auto"/>
        <w:ind w:firstLineChars="1058" w:firstLine="2116"/>
        <w:jc w:val="both"/>
        <w:rPr>
          <w:rFonts w:ascii="Arial" w:hAnsi="Arial" w:cs="Arial"/>
          <w:color w:val="000000"/>
          <w:sz w:val="20"/>
          <w:szCs w:val="20"/>
        </w:rPr>
      </w:pPr>
    </w:p>
    <w:p w14:paraId="5AF06F4E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I 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bidi="ar"/>
        </w:rPr>
        <w:t>O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14:paraId="54EAEA49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II 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 </w:t>
      </w:r>
      <w:r>
        <w:rPr>
          <w:rFonts w:ascii="Arial" w:hAnsi="Arial" w:cs="Arial"/>
          <w:color w:val="000000"/>
          <w:sz w:val="20"/>
          <w:szCs w:val="20"/>
          <w:lang w:bidi="ar"/>
        </w:rPr>
        <w:t>O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Orçamento da Seguridade Social, abrangendo todas as entidades e órgãos da Administração direta e indireta a ele vinculados, bem como fundações instituídas e mantidas pelo Poder Público.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</w:p>
    <w:p w14:paraId="532AE263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2F3BD113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Título II</w:t>
      </w:r>
    </w:p>
    <w:p w14:paraId="24D088F7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DOS ORÇAMENTOS FISCAL E DA SEGURIDADE SOCIAL</w:t>
      </w:r>
    </w:p>
    <w:p w14:paraId="6F233502" w14:textId="77777777" w:rsidR="000C3739" w:rsidRDefault="000C3739" w:rsidP="007A12DF">
      <w:pPr>
        <w:spacing w:after="0" w:line="360" w:lineRule="auto"/>
        <w:jc w:val="center"/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</w:pPr>
    </w:p>
    <w:p w14:paraId="34B5804B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Capítulo I</w:t>
      </w:r>
    </w:p>
    <w:p w14:paraId="32078CBF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DA ESTIMATIVA DA RECEITA</w:t>
      </w:r>
    </w:p>
    <w:p w14:paraId="66AF4A82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Da Receita Total</w:t>
      </w:r>
    </w:p>
    <w:p w14:paraId="6DCA563C" w14:textId="77777777" w:rsidR="000C3739" w:rsidRDefault="000C3739" w:rsidP="007A12DF">
      <w:pPr>
        <w:spacing w:after="0" w:line="360" w:lineRule="auto"/>
        <w:ind w:firstLine="14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065B230D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Art. 2º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  A Receita Orçamentária, </w:t>
      </w:r>
      <w:r>
        <w:rPr>
          <w:rFonts w:ascii="Arial" w:hAnsi="Arial" w:cs="Arial"/>
          <w:color w:val="000000"/>
          <w:sz w:val="20"/>
          <w:szCs w:val="20"/>
          <w:lang w:bidi="ar"/>
        </w:rPr>
        <w:t>o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valor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corrente e conforme a legislação tributária vigente, é estimada em R$ 252.959.836,00 (duzentos e cinquenta e dois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milhões, 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novecentos e cinquenta e nove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mil e 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oitocentos e trinta e seis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reais).</w:t>
      </w:r>
    </w:p>
    <w:p w14:paraId="715C68E2" w14:textId="77777777" w:rsidR="000C3739" w:rsidRDefault="000C3739" w:rsidP="000C3739">
      <w:pPr>
        <w:spacing w:after="0" w:line="240" w:lineRule="auto"/>
        <w:ind w:firstLineChars="1058" w:firstLine="2116"/>
        <w:jc w:val="both"/>
        <w:rPr>
          <w:rFonts w:ascii="Arial" w:hAnsi="Arial" w:cs="Arial"/>
          <w:color w:val="000000"/>
          <w:sz w:val="20"/>
          <w:szCs w:val="20"/>
        </w:rPr>
      </w:pPr>
    </w:p>
    <w:p w14:paraId="0130AB07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Art. 3º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  As receitas decorrentes da arrecadação de tributos e de outras receitas correntes e de capital, na forma da legislação vigente, discriminadas em anexo a esta Lei, são estimadas com o desdobramento disposto no </w:t>
      </w:r>
      <w:r>
        <w:rPr>
          <w:rFonts w:ascii="Arial" w:hAnsi="Arial" w:cs="Arial"/>
          <w:color w:val="000000"/>
          <w:sz w:val="20"/>
          <w:szCs w:val="20"/>
          <w:lang w:bidi="ar"/>
        </w:rPr>
        <w:t>demonstrativo da receita segundo as categorias econômicas anexado a esta Lei.</w:t>
      </w:r>
    </w:p>
    <w:p w14:paraId="431DE803" w14:textId="77777777" w:rsidR="000C3739" w:rsidRDefault="000C3739" w:rsidP="000C3739">
      <w:pPr>
        <w:spacing w:after="0" w:line="240" w:lineRule="auto"/>
        <w:ind w:firstLineChars="1300" w:firstLine="2600"/>
        <w:jc w:val="both"/>
        <w:rPr>
          <w:rFonts w:ascii="Arial" w:hAnsi="Arial" w:cs="Arial"/>
          <w:color w:val="000000"/>
          <w:sz w:val="20"/>
          <w:szCs w:val="20"/>
        </w:rPr>
      </w:pPr>
    </w:p>
    <w:p w14:paraId="6D5A84F8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Capítulo II</w:t>
      </w:r>
    </w:p>
    <w:p w14:paraId="44AC0725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DA FIXAÇÃO DA DESPESA</w:t>
      </w:r>
    </w:p>
    <w:p w14:paraId="169AE365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bidi="ar"/>
        </w:rPr>
      </w:pPr>
    </w:p>
    <w:p w14:paraId="4F126212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Seção I</w:t>
      </w:r>
    </w:p>
    <w:p w14:paraId="0F493837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Da Despesa Total</w:t>
      </w:r>
    </w:p>
    <w:p w14:paraId="06FE4A22" w14:textId="77777777" w:rsidR="000C3739" w:rsidRDefault="000C3739" w:rsidP="000C3739">
      <w:pPr>
        <w:spacing w:after="0" w:line="240" w:lineRule="auto"/>
        <w:ind w:firstLine="1400"/>
        <w:jc w:val="both"/>
        <w:rPr>
          <w:rFonts w:ascii="Arial" w:hAnsi="Arial" w:cs="Arial"/>
          <w:color w:val="000000"/>
          <w:sz w:val="20"/>
          <w:szCs w:val="20"/>
        </w:rPr>
      </w:pPr>
    </w:p>
    <w:p w14:paraId="646EBE03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Art. 4º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 A despesa total fixada nos Orçamentos Fiscal e da Seguridade Social, no mesmo valor da receita orçamentária, é de R$ 252.959.836,00 (duzentos e cinquenta e dois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milhões, 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novecentos e cinquenta e nove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mil e </w:t>
      </w:r>
      <w:r>
        <w:rPr>
          <w:rFonts w:ascii="Arial" w:hAnsi="Arial" w:cs="Arial"/>
          <w:color w:val="000000"/>
          <w:sz w:val="20"/>
          <w:szCs w:val="20"/>
          <w:lang w:bidi="ar"/>
        </w:rPr>
        <w:t xml:space="preserve">oitocentos e trinta e seis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reais).</w:t>
      </w:r>
    </w:p>
    <w:p w14:paraId="19C5A759" w14:textId="572E7191" w:rsidR="007A12DF" w:rsidRDefault="007A12DF" w:rsidP="007A12DF">
      <w:pPr>
        <w:spacing w:after="0" w:line="240" w:lineRule="auto"/>
        <w:jc w:val="center"/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</w:pPr>
    </w:p>
    <w:p w14:paraId="2BC7B838" w14:textId="77777777" w:rsidR="00B87564" w:rsidRDefault="00B87564" w:rsidP="007A12DF">
      <w:pPr>
        <w:spacing w:after="0" w:line="240" w:lineRule="auto"/>
        <w:jc w:val="center"/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</w:pPr>
    </w:p>
    <w:p w14:paraId="76AB82AD" w14:textId="77777777" w:rsidR="007A12DF" w:rsidRDefault="007A12DF" w:rsidP="007A12DF">
      <w:pPr>
        <w:spacing w:after="0" w:line="360" w:lineRule="auto"/>
        <w:jc w:val="center"/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</w:pPr>
    </w:p>
    <w:p w14:paraId="47A5E4B6" w14:textId="2CC10CD4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lastRenderedPageBreak/>
        <w:t>Seção II</w:t>
      </w:r>
    </w:p>
    <w:p w14:paraId="4243EC8A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Da Despesa por órgão</w:t>
      </w:r>
    </w:p>
    <w:p w14:paraId="42D63C7B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2FDB0610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Art. 5º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 A despesa fixada à conta dos recursos previstos, observada a programação constante do detalhamento das ações, apresenta, por Órgão, o desdobramento disposto </w:t>
      </w:r>
      <w:r>
        <w:rPr>
          <w:rFonts w:ascii="Arial" w:hAnsi="Arial" w:cs="Arial"/>
          <w:color w:val="000000"/>
          <w:sz w:val="20"/>
          <w:szCs w:val="20"/>
          <w:lang w:bidi="ar"/>
        </w:rPr>
        <w:t>no quadro das dotações por órgãos do Governo e da Administração, anexado a esta Lei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.</w:t>
      </w:r>
    </w:p>
    <w:p w14:paraId="023D7DBD" w14:textId="77777777" w:rsidR="007A12DF" w:rsidRDefault="007A12DF" w:rsidP="007A12DF">
      <w:pPr>
        <w:spacing w:after="0" w:line="240" w:lineRule="auto"/>
        <w:jc w:val="center"/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</w:pPr>
    </w:p>
    <w:p w14:paraId="3BEFA77F" w14:textId="332A8BAF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Capítulo III</w:t>
      </w:r>
    </w:p>
    <w:p w14:paraId="73F97811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DA AUTORIZAÇÃO PARA ABERTURA DE CRÉDITOS SUPLEMENTARES</w:t>
      </w:r>
    </w:p>
    <w:p w14:paraId="44802893" w14:textId="77777777" w:rsidR="000C3739" w:rsidRDefault="000C3739" w:rsidP="000C3739">
      <w:pPr>
        <w:spacing w:after="0" w:line="240" w:lineRule="auto"/>
        <w:ind w:firstLineChars="1200" w:firstLine="24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03A167BF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Art. 6º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eastAsiaTheme="minorEastAsia" w:hAnsi="Arial" w:cs="Arial"/>
          <w:bCs/>
          <w:color w:val="000000"/>
          <w:sz w:val="20"/>
          <w:szCs w:val="20"/>
          <w:lang w:bidi="ar"/>
        </w:rPr>
        <w:t> 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Fica o Poder Executivo, respeitadas as demais prescrições constitucionais</w:t>
      </w:r>
      <w:r>
        <w:rPr>
          <w:rFonts w:ascii="Arial" w:hAnsi="Arial" w:cs="Arial"/>
          <w:color w:val="000000"/>
          <w:sz w:val="20"/>
          <w:szCs w:val="20"/>
          <w:lang w:bidi="ar"/>
        </w:rPr>
        <w:t>,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e nos termos da Lei nº 4.320/1964, autorizado a abrir créditos adicionais suplementares até o valor correspondente a 40% (quarenta por cento) dos Orçamentos Fiscais e da Seguridade Social, com a finalidade de incorporar valores que excedam as previsões constantes desta Lei, mediante a utilização de recursos provenientes de: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6215C3C8" w14:textId="77777777" w:rsidR="000C3739" w:rsidRDefault="000C3739" w:rsidP="000C3739">
      <w:pPr>
        <w:spacing w:after="0" w:line="240" w:lineRule="auto"/>
        <w:ind w:firstLineChars="1058" w:firstLine="2116"/>
        <w:jc w:val="both"/>
        <w:rPr>
          <w:rFonts w:ascii="Arial" w:hAnsi="Arial" w:cs="Arial"/>
          <w:color w:val="000000"/>
          <w:sz w:val="20"/>
          <w:szCs w:val="20"/>
        </w:rPr>
      </w:pPr>
    </w:p>
    <w:p w14:paraId="7804AEBD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I 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bidi="ar"/>
        </w:rPr>
        <w:t>A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nulação parcial ou total de dotações;</w:t>
      </w:r>
    </w:p>
    <w:p w14:paraId="66B075C1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II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 -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Incorporação de superávit e/ou saldo financeiro disponível do exercício anterior, efetivamente apurados em </w:t>
      </w:r>
      <w:r>
        <w:rPr>
          <w:rFonts w:ascii="Arial" w:hAnsi="Arial" w:cs="Arial"/>
          <w:color w:val="000000"/>
          <w:sz w:val="20"/>
          <w:szCs w:val="20"/>
          <w:lang w:bidi="ar"/>
        </w:rPr>
        <w:t>B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alanço do exercício anterior;</w:t>
      </w:r>
    </w:p>
    <w:p w14:paraId="1AA258F0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III 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-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excesso de arrecadação em bases constantes.</w:t>
      </w:r>
    </w:p>
    <w:p w14:paraId="613AB146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23AFAC37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Parágrafo Único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. Excluem-se da base de cálculo do limite a que se refere o caput deste artigo os valores correspondentes à amortização e encargos da dívida e às despesas financiadas com operações de crédito contratadas e a contratar.</w:t>
      </w:r>
    </w:p>
    <w:p w14:paraId="256E6F08" w14:textId="77777777" w:rsidR="000C3739" w:rsidRDefault="000C3739" w:rsidP="000C3739">
      <w:pPr>
        <w:spacing w:after="0" w:line="240" w:lineRule="auto"/>
        <w:ind w:firstLineChars="1200" w:firstLine="24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 </w:t>
      </w:r>
    </w:p>
    <w:p w14:paraId="18A65076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Título I</w:t>
      </w:r>
      <w:r>
        <w:rPr>
          <w:rFonts w:ascii="Arial" w:hAnsi="Arial" w:cs="Arial"/>
          <w:b/>
          <w:color w:val="000000"/>
          <w:sz w:val="20"/>
          <w:szCs w:val="20"/>
          <w:lang w:bidi="ar"/>
        </w:rPr>
        <w:t>II</w:t>
      </w:r>
    </w:p>
    <w:p w14:paraId="3F698E71" w14:textId="77777777" w:rsidR="000C3739" w:rsidRDefault="000C3739" w:rsidP="007A12DF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DAS DISPOSIÇÕES FINAIS</w:t>
      </w:r>
    </w:p>
    <w:p w14:paraId="4F8A5B25" w14:textId="77777777" w:rsidR="000C3739" w:rsidRDefault="000C3739" w:rsidP="000C3739">
      <w:pPr>
        <w:spacing w:after="0" w:line="240" w:lineRule="auto"/>
        <w:ind w:firstLineChars="1200" w:firstLine="24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09D768F8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 xml:space="preserve">Art. </w:t>
      </w:r>
      <w:r>
        <w:rPr>
          <w:rFonts w:ascii="Arial" w:hAnsi="Arial" w:cs="Arial"/>
          <w:b/>
          <w:color w:val="000000"/>
          <w:sz w:val="20"/>
          <w:szCs w:val="20"/>
          <w:lang w:bidi="ar"/>
        </w:rPr>
        <w:t>7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º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eastAsiaTheme="minorEastAsia" w:hAnsi="Arial" w:cs="Arial"/>
          <w:bCs/>
          <w:color w:val="000000"/>
          <w:sz w:val="20"/>
          <w:szCs w:val="20"/>
          <w:lang w:bidi="ar"/>
        </w:rPr>
        <w:t> 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Fica desde já autorizado as devidas alterações no PPA tendo em vista a</w:t>
      </w:r>
      <w:r>
        <w:rPr>
          <w:rFonts w:ascii="Arial" w:hAnsi="Arial" w:cs="Arial"/>
          <w:color w:val="000000"/>
          <w:sz w:val="20"/>
          <w:szCs w:val="20"/>
          <w:lang w:bidi="ar"/>
        </w:rPr>
        <w:t>s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audiência</w:t>
      </w:r>
      <w:r>
        <w:rPr>
          <w:rFonts w:ascii="Arial" w:hAnsi="Arial" w:cs="Arial"/>
          <w:color w:val="000000"/>
          <w:sz w:val="20"/>
          <w:szCs w:val="20"/>
          <w:lang w:bidi="ar"/>
        </w:rPr>
        <w:t>s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pública</w:t>
      </w:r>
      <w:r>
        <w:rPr>
          <w:rFonts w:ascii="Arial" w:hAnsi="Arial" w:cs="Arial"/>
          <w:color w:val="000000"/>
          <w:sz w:val="20"/>
          <w:szCs w:val="20"/>
          <w:lang w:bidi="ar"/>
        </w:rPr>
        <w:t>s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ocorrida no corrente ano.</w:t>
      </w:r>
    </w:p>
    <w:p w14:paraId="27E2B35C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3F078BEA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 xml:space="preserve">Art. </w:t>
      </w:r>
      <w:r>
        <w:rPr>
          <w:rFonts w:ascii="Arial" w:hAnsi="Arial" w:cs="Arial"/>
          <w:b/>
          <w:color w:val="000000"/>
          <w:sz w:val="20"/>
          <w:szCs w:val="20"/>
          <w:lang w:bidi="ar"/>
        </w:rPr>
        <w:t>8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º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 Integram esta Lei os seguintes Anexos:</w:t>
      </w:r>
    </w:p>
    <w:p w14:paraId="1F8F7264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 </w:t>
      </w:r>
    </w:p>
    <w:p w14:paraId="5D242CC2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I 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-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Sumário geral da receita por fontes e da despesa por funções do Governo;</w:t>
      </w:r>
    </w:p>
    <w:p w14:paraId="4FD604CA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II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da receita e despesa segundo as categorias econômicas;</w:t>
      </w:r>
    </w:p>
    <w:p w14:paraId="60828BF4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III -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Resumo Geral da Receita;</w:t>
      </w:r>
    </w:p>
    <w:p w14:paraId="0B3FEFED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IV 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da despesa por categoria econômica;</w:t>
      </w:r>
    </w:p>
    <w:p w14:paraId="2EE41A3C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 xml:space="preserve">V -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do Programa de Trabalho de governo;</w:t>
      </w:r>
    </w:p>
    <w:p w14:paraId="7FCF400B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VI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Demonstrativo por função, subfunção e programa por categoria econômica;</w:t>
      </w:r>
    </w:p>
    <w:p w14:paraId="4CD8D471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VII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por função, subfunção e programa por projetos/atividades;</w:t>
      </w:r>
    </w:p>
    <w:p w14:paraId="355AC300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VIII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por funções, subfunções e programas conforme vínculo com os recursos;</w:t>
      </w:r>
    </w:p>
    <w:p w14:paraId="75F7A991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IX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 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da despesa por órgãos e função;</w:t>
      </w:r>
    </w:p>
    <w:p w14:paraId="39312653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X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 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Demonstrativo </w:t>
      </w:r>
      <w:r>
        <w:rPr>
          <w:rFonts w:ascii="Arial" w:hAnsi="Arial" w:cs="Arial"/>
          <w:color w:val="000000"/>
          <w:sz w:val="20"/>
          <w:szCs w:val="20"/>
          <w:lang w:bidi="ar"/>
        </w:rPr>
        <w:t>Analítico da Receita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.</w:t>
      </w:r>
    </w:p>
    <w:p w14:paraId="2D98015D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XI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Demonstrativo da receita fiscal da seguridade social</w:t>
      </w:r>
    </w:p>
    <w:p w14:paraId="3B792401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XII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lang w:bidi="ar"/>
        </w:rPr>
        <w:t>-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 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Demonstrativo </w:t>
      </w:r>
      <w:r>
        <w:rPr>
          <w:rFonts w:ascii="Arial" w:hAnsi="Arial" w:cs="Arial"/>
          <w:color w:val="000000"/>
          <w:sz w:val="20"/>
          <w:szCs w:val="20"/>
          <w:lang w:bidi="ar"/>
        </w:rPr>
        <w:t>Analítico da Despesa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.</w:t>
      </w:r>
    </w:p>
    <w:p w14:paraId="3166FE53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XIII -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do orçamento da Despesa por Atividade/Projeto/Operação Especial;</w:t>
      </w:r>
    </w:p>
    <w:p w14:paraId="57378653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XIV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Demonstrativo do Orçamento da Despesa segundo o vínculo de recursos;</w:t>
      </w:r>
    </w:p>
    <w:p w14:paraId="082905A2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XV -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Comparativo por Fonte de Recurso;</w:t>
      </w:r>
    </w:p>
    <w:p w14:paraId="28C9C569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XVI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Demonstrativo da Despesa Fiscal da Seguridade Social;</w:t>
      </w:r>
    </w:p>
    <w:p w14:paraId="5FA71167" w14:textId="0BF18FF4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XVII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Tabela Explicativa da Evolução da Receita e da Despesa;</w:t>
      </w:r>
    </w:p>
    <w:p w14:paraId="27538877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XVIII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Demonstrativo de Metas Fiscais;</w:t>
      </w:r>
    </w:p>
    <w:p w14:paraId="4AA71439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 xml:space="preserve">XIX - 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Demonstrativo da Renúncia da Receita;</w:t>
      </w:r>
    </w:p>
    <w:p w14:paraId="06BFA421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XX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Demonstrativo de Margem de Expansão das Despesas Obrigatórias de Caráter Continuado;</w:t>
      </w:r>
    </w:p>
    <w:p w14:paraId="01083C2A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t>XXI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Demonstrativo de Compatibilização do Orçamento/Metas Fiscais;</w:t>
      </w:r>
    </w:p>
    <w:p w14:paraId="33F8D73F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eastAsiaTheme="minorEastAsia" w:hAnsi="Arial" w:cs="Arial"/>
          <w:color w:val="000000"/>
          <w:sz w:val="20"/>
          <w:szCs w:val="20"/>
          <w:lang w:bidi="a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bidi="ar"/>
        </w:rPr>
        <w:lastRenderedPageBreak/>
        <w:t>XXII -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 xml:space="preserve"> Demonstrativo Regionalizado do Efeito sobre as Receitas e Despesas decorrentes de Isenções, Anistias, Remissões, Subsídios e Benefícios de Natureza Financeira, Tributária e Creditícia.</w:t>
      </w:r>
    </w:p>
    <w:p w14:paraId="300BA5BA" w14:textId="77777777" w:rsidR="000C3739" w:rsidRDefault="000C3739" w:rsidP="000C3739">
      <w:pPr>
        <w:spacing w:after="0" w:line="240" w:lineRule="auto"/>
        <w:ind w:firstLineChars="1058" w:firstLine="2116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</w:p>
    <w:p w14:paraId="49E19F52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 xml:space="preserve">Art. </w:t>
      </w:r>
      <w:r>
        <w:rPr>
          <w:rFonts w:ascii="Arial" w:hAnsi="Arial" w:cs="Arial"/>
          <w:b/>
          <w:color w:val="000000"/>
          <w:sz w:val="20"/>
          <w:szCs w:val="20"/>
          <w:lang w:bidi="ar"/>
        </w:rPr>
        <w:t>9º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eastAsiaTheme="minorEastAsia" w:hAnsi="Arial" w:cs="Arial"/>
          <w:color w:val="000000"/>
          <w:sz w:val="20"/>
          <w:szCs w:val="20"/>
          <w:lang w:bidi="ar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Esta Lei entrará em vigor a partir de 1º de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Janeiro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202</w:t>
      </w:r>
      <w:r>
        <w:rPr>
          <w:rFonts w:ascii="Arial" w:hAnsi="Arial" w:cs="Arial"/>
          <w:color w:val="000000"/>
          <w:sz w:val="20"/>
          <w:szCs w:val="20"/>
          <w:lang w:val="en-US" w:eastAsia="pt-BR"/>
        </w:rPr>
        <w:t>3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6FA9E2F4" w14:textId="77777777" w:rsidR="000C3739" w:rsidRDefault="000C3739" w:rsidP="000C3739">
      <w:pPr>
        <w:spacing w:after="0" w:line="240" w:lineRule="auto"/>
        <w:ind w:firstLineChars="1058" w:firstLine="2116"/>
        <w:jc w:val="both"/>
        <w:rPr>
          <w:rFonts w:ascii="Arial" w:hAnsi="Arial" w:cs="Arial"/>
          <w:color w:val="000000"/>
          <w:sz w:val="20"/>
          <w:szCs w:val="20"/>
        </w:rPr>
      </w:pPr>
    </w:p>
    <w:p w14:paraId="6374A67F" w14:textId="77777777" w:rsidR="000C3739" w:rsidRDefault="000C3739" w:rsidP="000C3739">
      <w:pPr>
        <w:spacing w:after="0" w:line="240" w:lineRule="auto"/>
        <w:ind w:firstLineChars="1058" w:firstLine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10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Revogam-se as disposições em contrário.</w:t>
      </w:r>
    </w:p>
    <w:p w14:paraId="3B6EFF80" w14:textId="77777777" w:rsidR="00971594" w:rsidRPr="006E58A6" w:rsidRDefault="00971594" w:rsidP="006E58A6">
      <w:pPr>
        <w:spacing w:after="0" w:line="240" w:lineRule="auto"/>
        <w:ind w:firstLine="2127"/>
        <w:jc w:val="both"/>
        <w:rPr>
          <w:rFonts w:ascii="Arial" w:hAnsi="Arial" w:cs="Arial"/>
          <w:iCs/>
          <w:sz w:val="20"/>
          <w:szCs w:val="20"/>
          <w:highlight w:val="yellow"/>
        </w:rPr>
      </w:pPr>
    </w:p>
    <w:p w14:paraId="2C4CAE7D" w14:textId="77777777" w:rsidR="00F33E2D" w:rsidRPr="006E58A6" w:rsidRDefault="0052032F" w:rsidP="00137189">
      <w:pPr>
        <w:spacing w:after="0" w:line="240" w:lineRule="auto"/>
        <w:ind w:firstLine="2127"/>
        <w:jc w:val="right"/>
        <w:rPr>
          <w:rFonts w:ascii="Arial" w:hAnsi="Arial" w:cs="Arial"/>
          <w:sz w:val="20"/>
          <w:szCs w:val="20"/>
        </w:rPr>
      </w:pPr>
      <w:r w:rsidRPr="006E58A6">
        <w:rPr>
          <w:rFonts w:ascii="Arial" w:hAnsi="Arial" w:cs="Arial"/>
          <w:b/>
          <w:sz w:val="20"/>
          <w:szCs w:val="20"/>
        </w:rPr>
        <w:t>Registre-se. Publique-se. Cumpra-se</w:t>
      </w:r>
      <w:r w:rsidRPr="006E58A6">
        <w:rPr>
          <w:rFonts w:ascii="Arial" w:hAnsi="Arial" w:cs="Arial"/>
          <w:sz w:val="20"/>
          <w:szCs w:val="20"/>
        </w:rPr>
        <w:t>.</w:t>
      </w:r>
    </w:p>
    <w:p w14:paraId="14CEB4D9" w14:textId="77777777" w:rsidR="00673953" w:rsidRPr="006E58A6" w:rsidRDefault="00673953" w:rsidP="00137189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8FCAE97" w14:textId="76D73FF3" w:rsidR="00F33E2D" w:rsidRPr="006E58A6" w:rsidRDefault="0052032F" w:rsidP="00137189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E58A6">
        <w:rPr>
          <w:rFonts w:ascii="Arial" w:hAnsi="Arial" w:cs="Arial"/>
          <w:sz w:val="20"/>
          <w:szCs w:val="20"/>
        </w:rPr>
        <w:t xml:space="preserve">Santa Maria de Jetibá-ES, </w:t>
      </w:r>
      <w:r w:rsidR="00B87564">
        <w:rPr>
          <w:rFonts w:ascii="Arial" w:hAnsi="Arial" w:cs="Arial"/>
          <w:sz w:val="20"/>
          <w:szCs w:val="20"/>
        </w:rPr>
        <w:t xml:space="preserve">08 de </w:t>
      </w:r>
      <w:proofErr w:type="gramStart"/>
      <w:r w:rsidR="00B87564">
        <w:rPr>
          <w:rFonts w:ascii="Arial" w:hAnsi="Arial" w:cs="Arial"/>
          <w:sz w:val="20"/>
          <w:szCs w:val="20"/>
        </w:rPr>
        <w:t>Dezembro</w:t>
      </w:r>
      <w:proofErr w:type="gramEnd"/>
      <w:r w:rsidR="00043465" w:rsidRPr="006E58A6">
        <w:rPr>
          <w:rFonts w:ascii="Arial" w:hAnsi="Arial" w:cs="Arial"/>
          <w:sz w:val="20"/>
          <w:szCs w:val="20"/>
        </w:rPr>
        <w:t xml:space="preserve"> </w:t>
      </w:r>
      <w:r w:rsidRPr="006E58A6">
        <w:rPr>
          <w:rFonts w:ascii="Arial" w:hAnsi="Arial" w:cs="Arial"/>
          <w:sz w:val="20"/>
          <w:szCs w:val="20"/>
        </w:rPr>
        <w:t>de 20</w:t>
      </w:r>
      <w:r w:rsidR="00917A8C" w:rsidRPr="006E58A6">
        <w:rPr>
          <w:rFonts w:ascii="Arial" w:hAnsi="Arial" w:cs="Arial"/>
          <w:sz w:val="20"/>
          <w:szCs w:val="20"/>
        </w:rPr>
        <w:t>2</w:t>
      </w:r>
      <w:r w:rsidR="007A12DF">
        <w:rPr>
          <w:rFonts w:ascii="Arial" w:hAnsi="Arial" w:cs="Arial"/>
          <w:sz w:val="20"/>
          <w:szCs w:val="20"/>
        </w:rPr>
        <w:t>2</w:t>
      </w:r>
      <w:r w:rsidRPr="006E58A6">
        <w:rPr>
          <w:rFonts w:ascii="Arial" w:hAnsi="Arial" w:cs="Arial"/>
          <w:sz w:val="20"/>
          <w:szCs w:val="20"/>
        </w:rPr>
        <w:t>.</w:t>
      </w:r>
    </w:p>
    <w:p w14:paraId="70C2B4D0" w14:textId="77777777" w:rsidR="007E0B4C" w:rsidRPr="006E58A6" w:rsidRDefault="00034F57" w:rsidP="00137189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  <w:r w:rsidRPr="006E58A6">
        <w:rPr>
          <w:rFonts w:ascii="Arial" w:hAnsi="Arial" w:cs="Arial"/>
          <w:b/>
          <w:sz w:val="20"/>
          <w:szCs w:val="20"/>
        </w:rPr>
        <w:t xml:space="preserve"> </w:t>
      </w:r>
    </w:p>
    <w:p w14:paraId="789F8738" w14:textId="77777777" w:rsidR="007A459D" w:rsidRPr="006E58A6" w:rsidRDefault="007A459D" w:rsidP="00137189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</w:p>
    <w:p w14:paraId="1B1372B2" w14:textId="77777777" w:rsidR="009A09AA" w:rsidRPr="006E58A6" w:rsidRDefault="009A09AA" w:rsidP="00137189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</w:p>
    <w:p w14:paraId="5423DA2C" w14:textId="77777777" w:rsidR="007A459D" w:rsidRPr="006E58A6" w:rsidRDefault="007A459D" w:rsidP="00137189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</w:p>
    <w:p w14:paraId="7E75BD12" w14:textId="77777777" w:rsidR="00F33E2D" w:rsidRPr="006E58A6" w:rsidRDefault="0052032F" w:rsidP="00137189">
      <w:pPr>
        <w:spacing w:after="0" w:line="240" w:lineRule="auto"/>
        <w:ind w:left="5040" w:right="-170"/>
        <w:jc w:val="center"/>
        <w:rPr>
          <w:rFonts w:ascii="Arial" w:hAnsi="Arial" w:cs="Arial"/>
          <w:b/>
          <w:sz w:val="20"/>
          <w:szCs w:val="20"/>
        </w:rPr>
      </w:pPr>
      <w:r w:rsidRPr="006E58A6">
        <w:rPr>
          <w:rFonts w:ascii="Arial" w:hAnsi="Arial" w:cs="Arial"/>
          <w:b/>
          <w:sz w:val="20"/>
          <w:szCs w:val="20"/>
        </w:rPr>
        <w:t>HILÁRIO ROEPKE</w:t>
      </w:r>
    </w:p>
    <w:p w14:paraId="05E35BBF" w14:textId="77777777" w:rsidR="000967CB" w:rsidRDefault="0052032F" w:rsidP="00137189">
      <w:pPr>
        <w:spacing w:after="0" w:line="240" w:lineRule="auto"/>
        <w:ind w:left="5040" w:right="-170"/>
        <w:jc w:val="center"/>
        <w:rPr>
          <w:rFonts w:ascii="Arial" w:hAnsi="Arial" w:cs="Arial"/>
          <w:sz w:val="20"/>
          <w:szCs w:val="20"/>
        </w:rPr>
      </w:pPr>
      <w:r w:rsidRPr="006E58A6">
        <w:rPr>
          <w:rFonts w:ascii="Arial" w:hAnsi="Arial" w:cs="Arial"/>
          <w:sz w:val="20"/>
          <w:szCs w:val="20"/>
        </w:rPr>
        <w:t>Prefeito Municipal</w:t>
      </w:r>
    </w:p>
    <w:sectPr w:rsidR="000967CB" w:rsidSect="007A12DF">
      <w:headerReference w:type="default" r:id="rId9"/>
      <w:pgSz w:w="11906" w:h="16838"/>
      <w:pgMar w:top="2127" w:right="707" w:bottom="709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F6ED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57891516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59C4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072AE05B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9976" w14:textId="5D02E814" w:rsidR="00F33E2D" w:rsidRDefault="0052032F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5A59FA5" wp14:editId="19D00956">
          <wp:simplePos x="0" y="0"/>
          <wp:positionH relativeFrom="column">
            <wp:posOffset>744855</wp:posOffset>
          </wp:positionH>
          <wp:positionV relativeFrom="paragraph">
            <wp:posOffset>-95250</wp:posOffset>
          </wp:positionV>
          <wp:extent cx="4215130" cy="982980"/>
          <wp:effectExtent l="0" t="0" r="0" b="7620"/>
          <wp:wrapNone/>
          <wp:docPr id="5" name="Imagem 5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8E3E2D" w14:textId="77777777" w:rsidR="000C3739" w:rsidRDefault="000C37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EE062"/>
    <w:multiLevelType w:val="singleLevel"/>
    <w:tmpl w:val="871EE062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BCB82FBE"/>
    <w:multiLevelType w:val="singleLevel"/>
    <w:tmpl w:val="BCB82FBE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C4AE1420"/>
    <w:multiLevelType w:val="singleLevel"/>
    <w:tmpl w:val="C4AE1420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abstractNum w:abstractNumId="4" w15:restartNumberingAfterBreak="0">
    <w:nsid w:val="DE38307F"/>
    <w:multiLevelType w:val="singleLevel"/>
    <w:tmpl w:val="DE38307F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DFA1F960"/>
    <w:multiLevelType w:val="singleLevel"/>
    <w:tmpl w:val="DFA1F960"/>
    <w:lvl w:ilvl="0">
      <w:start w:val="1"/>
      <w:numFmt w:val="upperLetter"/>
      <w:suff w:val="space"/>
      <w:lvlText w:val="%1)"/>
      <w:lvlJc w:val="left"/>
    </w:lvl>
  </w:abstractNum>
  <w:abstractNum w:abstractNumId="6" w15:restartNumberingAfterBreak="0">
    <w:nsid w:val="E55422EB"/>
    <w:multiLevelType w:val="singleLevel"/>
    <w:tmpl w:val="E55422EB"/>
    <w:lvl w:ilvl="0">
      <w:start w:val="1"/>
      <w:numFmt w:val="upperLetter"/>
      <w:suff w:val="space"/>
      <w:lvlText w:val="%1)"/>
      <w:lvlJc w:val="left"/>
    </w:lvl>
  </w:abstractNum>
  <w:abstractNum w:abstractNumId="7" w15:restartNumberingAfterBreak="0">
    <w:nsid w:val="06895D0B"/>
    <w:multiLevelType w:val="hybridMultilevel"/>
    <w:tmpl w:val="B59CC332"/>
    <w:lvl w:ilvl="0" w:tplc="951CE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2DE5"/>
    <w:multiLevelType w:val="multilevel"/>
    <w:tmpl w:val="C82E0622"/>
    <w:lvl w:ilvl="0">
      <w:start w:val="1"/>
      <w:numFmt w:val="upperRoman"/>
      <w:lvlText w:val="%1"/>
      <w:lvlJc w:val="left"/>
      <w:pPr>
        <w:ind w:left="2955" w:hanging="281"/>
      </w:pPr>
      <w:rPr>
        <w:rFonts w:ascii="Arial" w:eastAsia="Verdana" w:hAnsi="Arial" w:cs="Arial" w:hint="default"/>
        <w:b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6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4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8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33E5126F"/>
    <w:multiLevelType w:val="multilevel"/>
    <w:tmpl w:val="33E5126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559FF"/>
    <w:multiLevelType w:val="multilevel"/>
    <w:tmpl w:val="A3EC307C"/>
    <w:lvl w:ilvl="0">
      <w:start w:val="1"/>
      <w:numFmt w:val="upperRoman"/>
      <w:lvlText w:val="%1"/>
      <w:lvlJc w:val="left"/>
      <w:pPr>
        <w:ind w:left="3164" w:hanging="209"/>
      </w:pPr>
      <w:rPr>
        <w:rFonts w:ascii="Arial" w:eastAsia="Verdana" w:hAnsi="Arial" w:cs="Verdana" w:hint="default"/>
        <w:b/>
        <w:w w:val="100"/>
        <w:sz w:val="20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782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05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27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5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8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209"/>
      </w:pPr>
      <w:rPr>
        <w:rFonts w:hint="default"/>
        <w:lang w:val="pt-PT" w:eastAsia="en-US" w:bidi="ar-SA"/>
      </w:rPr>
    </w:lvl>
  </w:abstractNum>
  <w:num w:numId="1" w16cid:durableId="1555769845">
    <w:abstractNumId w:val="3"/>
  </w:num>
  <w:num w:numId="2" w16cid:durableId="1928414677">
    <w:abstractNumId w:val="2"/>
  </w:num>
  <w:num w:numId="3" w16cid:durableId="1176580750">
    <w:abstractNumId w:val="4"/>
  </w:num>
  <w:num w:numId="4" w16cid:durableId="942148181">
    <w:abstractNumId w:val="1"/>
  </w:num>
  <w:num w:numId="5" w16cid:durableId="1559632009">
    <w:abstractNumId w:val="10"/>
  </w:num>
  <w:num w:numId="6" w16cid:durableId="1839345823">
    <w:abstractNumId w:val="8"/>
  </w:num>
  <w:num w:numId="7" w16cid:durableId="1324049451">
    <w:abstractNumId w:val="7"/>
  </w:num>
  <w:num w:numId="8" w16cid:durableId="78601755">
    <w:abstractNumId w:val="5"/>
  </w:num>
  <w:num w:numId="9" w16cid:durableId="100612402">
    <w:abstractNumId w:val="0"/>
  </w:num>
  <w:num w:numId="10" w16cid:durableId="604119864">
    <w:abstractNumId w:val="6"/>
  </w:num>
  <w:num w:numId="11" w16cid:durableId="2106219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05C5B"/>
    <w:rsid w:val="00012D35"/>
    <w:rsid w:val="000255E4"/>
    <w:rsid w:val="000303E0"/>
    <w:rsid w:val="00034F57"/>
    <w:rsid w:val="00037D01"/>
    <w:rsid w:val="00043465"/>
    <w:rsid w:val="00067E23"/>
    <w:rsid w:val="00084322"/>
    <w:rsid w:val="000905CE"/>
    <w:rsid w:val="00096488"/>
    <w:rsid w:val="000967CB"/>
    <w:rsid w:val="000B1F89"/>
    <w:rsid w:val="000C2469"/>
    <w:rsid w:val="000C3739"/>
    <w:rsid w:val="000D3553"/>
    <w:rsid w:val="001103DF"/>
    <w:rsid w:val="00113453"/>
    <w:rsid w:val="00114C0C"/>
    <w:rsid w:val="00121408"/>
    <w:rsid w:val="00130762"/>
    <w:rsid w:val="0013268C"/>
    <w:rsid w:val="00137189"/>
    <w:rsid w:val="00152BB0"/>
    <w:rsid w:val="00162E51"/>
    <w:rsid w:val="001667A5"/>
    <w:rsid w:val="00177AE6"/>
    <w:rsid w:val="00193301"/>
    <w:rsid w:val="001A35BE"/>
    <w:rsid w:val="001A73E2"/>
    <w:rsid w:val="001B1FE6"/>
    <w:rsid w:val="001D2373"/>
    <w:rsid w:val="001D47FE"/>
    <w:rsid w:val="001E64F7"/>
    <w:rsid w:val="00215047"/>
    <w:rsid w:val="002169BA"/>
    <w:rsid w:val="0023094D"/>
    <w:rsid w:val="00230D83"/>
    <w:rsid w:val="0024046A"/>
    <w:rsid w:val="002461C0"/>
    <w:rsid w:val="00247C63"/>
    <w:rsid w:val="00257942"/>
    <w:rsid w:val="00262F6B"/>
    <w:rsid w:val="00280D02"/>
    <w:rsid w:val="00284C63"/>
    <w:rsid w:val="002947CE"/>
    <w:rsid w:val="002A01B3"/>
    <w:rsid w:val="002A1080"/>
    <w:rsid w:val="002B2846"/>
    <w:rsid w:val="002C73F8"/>
    <w:rsid w:val="002F60D7"/>
    <w:rsid w:val="002F728A"/>
    <w:rsid w:val="00303B1F"/>
    <w:rsid w:val="00303E14"/>
    <w:rsid w:val="003065B0"/>
    <w:rsid w:val="003149EE"/>
    <w:rsid w:val="00327EB6"/>
    <w:rsid w:val="00355011"/>
    <w:rsid w:val="0036632B"/>
    <w:rsid w:val="00374B92"/>
    <w:rsid w:val="00375192"/>
    <w:rsid w:val="0037600D"/>
    <w:rsid w:val="00377195"/>
    <w:rsid w:val="00387AE9"/>
    <w:rsid w:val="00393FD7"/>
    <w:rsid w:val="00394685"/>
    <w:rsid w:val="00395C9F"/>
    <w:rsid w:val="003A2386"/>
    <w:rsid w:val="003B6C2E"/>
    <w:rsid w:val="003E0BDC"/>
    <w:rsid w:val="003E6769"/>
    <w:rsid w:val="00403C46"/>
    <w:rsid w:val="00426471"/>
    <w:rsid w:val="00430228"/>
    <w:rsid w:val="0043319D"/>
    <w:rsid w:val="0043528B"/>
    <w:rsid w:val="00440467"/>
    <w:rsid w:val="00442F3F"/>
    <w:rsid w:val="00452FF7"/>
    <w:rsid w:val="004533C9"/>
    <w:rsid w:val="00455AA8"/>
    <w:rsid w:val="004644E5"/>
    <w:rsid w:val="0047014A"/>
    <w:rsid w:val="004833ED"/>
    <w:rsid w:val="00487727"/>
    <w:rsid w:val="00491D56"/>
    <w:rsid w:val="004A2453"/>
    <w:rsid w:val="004B405F"/>
    <w:rsid w:val="004C09F5"/>
    <w:rsid w:val="004C3AF5"/>
    <w:rsid w:val="004C46FA"/>
    <w:rsid w:val="004D283C"/>
    <w:rsid w:val="004D5062"/>
    <w:rsid w:val="004D5F87"/>
    <w:rsid w:val="004D68DF"/>
    <w:rsid w:val="004E42B2"/>
    <w:rsid w:val="004E66FB"/>
    <w:rsid w:val="004F0D05"/>
    <w:rsid w:val="004F6A92"/>
    <w:rsid w:val="00501A2F"/>
    <w:rsid w:val="00510C64"/>
    <w:rsid w:val="00513609"/>
    <w:rsid w:val="0052032F"/>
    <w:rsid w:val="00552261"/>
    <w:rsid w:val="005526B4"/>
    <w:rsid w:val="00556F1F"/>
    <w:rsid w:val="005633C9"/>
    <w:rsid w:val="00565EC3"/>
    <w:rsid w:val="0059724A"/>
    <w:rsid w:val="005A0164"/>
    <w:rsid w:val="005A3C5A"/>
    <w:rsid w:val="005A62B8"/>
    <w:rsid w:val="005B5145"/>
    <w:rsid w:val="005B7B85"/>
    <w:rsid w:val="005C19F9"/>
    <w:rsid w:val="005C26F0"/>
    <w:rsid w:val="005D4B39"/>
    <w:rsid w:val="005E681F"/>
    <w:rsid w:val="005E7593"/>
    <w:rsid w:val="005F1A66"/>
    <w:rsid w:val="005F4F58"/>
    <w:rsid w:val="00601DFB"/>
    <w:rsid w:val="00607838"/>
    <w:rsid w:val="00613350"/>
    <w:rsid w:val="00623608"/>
    <w:rsid w:val="00625E75"/>
    <w:rsid w:val="006263D7"/>
    <w:rsid w:val="00641651"/>
    <w:rsid w:val="00645C3A"/>
    <w:rsid w:val="006548B1"/>
    <w:rsid w:val="006567DF"/>
    <w:rsid w:val="00660EF7"/>
    <w:rsid w:val="0066573A"/>
    <w:rsid w:val="00665937"/>
    <w:rsid w:val="00667CF7"/>
    <w:rsid w:val="00667DEA"/>
    <w:rsid w:val="00673953"/>
    <w:rsid w:val="006764BA"/>
    <w:rsid w:val="0068682E"/>
    <w:rsid w:val="00687F5B"/>
    <w:rsid w:val="006D0E45"/>
    <w:rsid w:val="006D115E"/>
    <w:rsid w:val="006D1C7D"/>
    <w:rsid w:val="006E3305"/>
    <w:rsid w:val="006E360A"/>
    <w:rsid w:val="006E58A6"/>
    <w:rsid w:val="006F4AE6"/>
    <w:rsid w:val="006F6621"/>
    <w:rsid w:val="007014AF"/>
    <w:rsid w:val="00716D93"/>
    <w:rsid w:val="00725210"/>
    <w:rsid w:val="00746558"/>
    <w:rsid w:val="00750A42"/>
    <w:rsid w:val="00756FA1"/>
    <w:rsid w:val="007610F5"/>
    <w:rsid w:val="00767160"/>
    <w:rsid w:val="00773974"/>
    <w:rsid w:val="00775633"/>
    <w:rsid w:val="00777282"/>
    <w:rsid w:val="00792568"/>
    <w:rsid w:val="00794D8F"/>
    <w:rsid w:val="007A12DF"/>
    <w:rsid w:val="007A1387"/>
    <w:rsid w:val="007A459D"/>
    <w:rsid w:val="007B61EC"/>
    <w:rsid w:val="007D12D6"/>
    <w:rsid w:val="007D56B6"/>
    <w:rsid w:val="007E0B4C"/>
    <w:rsid w:val="007E61DE"/>
    <w:rsid w:val="007F04B4"/>
    <w:rsid w:val="008007BC"/>
    <w:rsid w:val="00805728"/>
    <w:rsid w:val="00806F0B"/>
    <w:rsid w:val="00810771"/>
    <w:rsid w:val="00821AF5"/>
    <w:rsid w:val="00824F39"/>
    <w:rsid w:val="0085682E"/>
    <w:rsid w:val="0086299B"/>
    <w:rsid w:val="00871D19"/>
    <w:rsid w:val="00872F79"/>
    <w:rsid w:val="008A0216"/>
    <w:rsid w:val="008A1F55"/>
    <w:rsid w:val="008A4CA1"/>
    <w:rsid w:val="008A5B28"/>
    <w:rsid w:val="008B37C3"/>
    <w:rsid w:val="008C6E23"/>
    <w:rsid w:val="008D6209"/>
    <w:rsid w:val="008E4791"/>
    <w:rsid w:val="008E6063"/>
    <w:rsid w:val="008E6D5B"/>
    <w:rsid w:val="008F31E2"/>
    <w:rsid w:val="008F534B"/>
    <w:rsid w:val="00900F77"/>
    <w:rsid w:val="00902640"/>
    <w:rsid w:val="00904D58"/>
    <w:rsid w:val="00917A8C"/>
    <w:rsid w:val="0092166B"/>
    <w:rsid w:val="0093552D"/>
    <w:rsid w:val="00935E3F"/>
    <w:rsid w:val="00942B41"/>
    <w:rsid w:val="00943D45"/>
    <w:rsid w:val="0095496D"/>
    <w:rsid w:val="009551B7"/>
    <w:rsid w:val="00956960"/>
    <w:rsid w:val="00963FE8"/>
    <w:rsid w:val="00964552"/>
    <w:rsid w:val="00971594"/>
    <w:rsid w:val="00977A1F"/>
    <w:rsid w:val="00981B6E"/>
    <w:rsid w:val="009914BE"/>
    <w:rsid w:val="00994023"/>
    <w:rsid w:val="009969B9"/>
    <w:rsid w:val="009A038E"/>
    <w:rsid w:val="009A07B5"/>
    <w:rsid w:val="009A09AA"/>
    <w:rsid w:val="009A7282"/>
    <w:rsid w:val="009C196B"/>
    <w:rsid w:val="009D1D5D"/>
    <w:rsid w:val="009D6F50"/>
    <w:rsid w:val="009E4350"/>
    <w:rsid w:val="009E6096"/>
    <w:rsid w:val="00A00401"/>
    <w:rsid w:val="00A10CBE"/>
    <w:rsid w:val="00A120E9"/>
    <w:rsid w:val="00A167BC"/>
    <w:rsid w:val="00A2006D"/>
    <w:rsid w:val="00A36252"/>
    <w:rsid w:val="00A36AF6"/>
    <w:rsid w:val="00A42B6E"/>
    <w:rsid w:val="00A438CF"/>
    <w:rsid w:val="00A55AA3"/>
    <w:rsid w:val="00A7185A"/>
    <w:rsid w:val="00A73EE5"/>
    <w:rsid w:val="00AD7280"/>
    <w:rsid w:val="00AE6DAB"/>
    <w:rsid w:val="00B026C0"/>
    <w:rsid w:val="00B10AB9"/>
    <w:rsid w:val="00B54767"/>
    <w:rsid w:val="00B60511"/>
    <w:rsid w:val="00B61FBC"/>
    <w:rsid w:val="00B624A5"/>
    <w:rsid w:val="00B63141"/>
    <w:rsid w:val="00B87564"/>
    <w:rsid w:val="00BA306A"/>
    <w:rsid w:val="00BB6EB9"/>
    <w:rsid w:val="00BD1243"/>
    <w:rsid w:val="00BE2456"/>
    <w:rsid w:val="00C13E63"/>
    <w:rsid w:val="00C16575"/>
    <w:rsid w:val="00C25AF8"/>
    <w:rsid w:val="00C31E08"/>
    <w:rsid w:val="00C32071"/>
    <w:rsid w:val="00C37CE6"/>
    <w:rsid w:val="00C85357"/>
    <w:rsid w:val="00CA417B"/>
    <w:rsid w:val="00CA4DA8"/>
    <w:rsid w:val="00CB0556"/>
    <w:rsid w:val="00CB3B13"/>
    <w:rsid w:val="00CB5FEA"/>
    <w:rsid w:val="00CB7730"/>
    <w:rsid w:val="00CC7AA6"/>
    <w:rsid w:val="00CD59AD"/>
    <w:rsid w:val="00CF0F36"/>
    <w:rsid w:val="00CF64D8"/>
    <w:rsid w:val="00D049BD"/>
    <w:rsid w:val="00D10014"/>
    <w:rsid w:val="00D236BC"/>
    <w:rsid w:val="00D328F6"/>
    <w:rsid w:val="00D4417A"/>
    <w:rsid w:val="00D6518B"/>
    <w:rsid w:val="00D83762"/>
    <w:rsid w:val="00D87685"/>
    <w:rsid w:val="00D96BFB"/>
    <w:rsid w:val="00DB17B2"/>
    <w:rsid w:val="00DB38F2"/>
    <w:rsid w:val="00DD4C4C"/>
    <w:rsid w:val="00DF16FF"/>
    <w:rsid w:val="00E0132C"/>
    <w:rsid w:val="00E20F67"/>
    <w:rsid w:val="00E3081C"/>
    <w:rsid w:val="00E46F9B"/>
    <w:rsid w:val="00E50EEC"/>
    <w:rsid w:val="00E82B91"/>
    <w:rsid w:val="00EB32DF"/>
    <w:rsid w:val="00EE353E"/>
    <w:rsid w:val="00EF259F"/>
    <w:rsid w:val="00EF4E52"/>
    <w:rsid w:val="00F2584E"/>
    <w:rsid w:val="00F31A87"/>
    <w:rsid w:val="00F33E2D"/>
    <w:rsid w:val="00F36C98"/>
    <w:rsid w:val="00F412EC"/>
    <w:rsid w:val="00F44742"/>
    <w:rsid w:val="00F6315B"/>
    <w:rsid w:val="00F71097"/>
    <w:rsid w:val="00F77314"/>
    <w:rsid w:val="00F83B80"/>
    <w:rsid w:val="00F8715D"/>
    <w:rsid w:val="00FA08E8"/>
    <w:rsid w:val="00FA77A7"/>
    <w:rsid w:val="00FB325E"/>
    <w:rsid w:val="00FC1598"/>
    <w:rsid w:val="00FC4723"/>
    <w:rsid w:val="00FC5FDF"/>
    <w:rsid w:val="00FD6D65"/>
    <w:rsid w:val="00FD7758"/>
    <w:rsid w:val="00FE27BB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ECCB"/>
  <w15:docId w15:val="{2E924287-9F99-4F0E-8442-ED1FA10C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77A1F"/>
    <w:pPr>
      <w:ind w:left="720"/>
      <w:contextualSpacing/>
    </w:pPr>
  </w:style>
  <w:style w:type="paragraph" w:customStyle="1" w:styleId="Default">
    <w:name w:val="Default"/>
    <w:qFormat/>
    <w:rsid w:val="00393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F04B4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cxmsonormal">
    <w:name w:val="ecxmsonormal"/>
    <w:basedOn w:val="Normal"/>
    <w:qFormat/>
    <w:rsid w:val="001B1FE6"/>
    <w:pPr>
      <w:spacing w:after="324" w:line="276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1594"/>
    <w:pPr>
      <w:spacing w:after="0" w:line="240" w:lineRule="auto"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30427-F0C1-49D4-9A81-7DE6C6CA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Alexandra Schulz</cp:lastModifiedBy>
  <cp:revision>2</cp:revision>
  <cp:lastPrinted>2022-09-28T17:11:00Z</cp:lastPrinted>
  <dcterms:created xsi:type="dcterms:W3CDTF">2022-12-13T13:00:00Z</dcterms:created>
  <dcterms:modified xsi:type="dcterms:W3CDTF">2022-12-13T13:00:00Z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